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8F" w:rsidRDefault="00DB1D8F" w:rsidP="00DB1D8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A52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986A52">
        <w:rPr>
          <w:rFonts w:ascii="Times New Roman" w:hAnsi="Times New Roman"/>
          <w:sz w:val="28"/>
          <w:szCs w:val="28"/>
          <w:lang w:val="uk-UA"/>
        </w:rPr>
        <w:t xml:space="preserve"> Ю.А.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методу визначення постійної часу газогенератора системи зберігання та подачі водню</w:t>
      </w:r>
      <w:r w:rsidRPr="00986A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6A52">
        <w:rPr>
          <w:rFonts w:ascii="Times New Roman" w:hAnsi="Times New Roman"/>
          <w:sz w:val="28"/>
          <w:szCs w:val="28"/>
        </w:rPr>
        <w:t>Абрамов Ю.А., Кривцова В.И.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АК.О.</w:t>
      </w:r>
      <w:r w:rsidRPr="00986A5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>Комунальне господарство міст. – Х.: ХНУМГ, 2021. – Том 3, Вип. 163. - С.216 - 220</w:t>
      </w:r>
      <w:r w:rsidRPr="000245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B1D8F" w:rsidRDefault="00DB1D8F"/>
    <w:sectPr w:rsidR="00DB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54B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8F"/>
    <w:rsid w:val="00DB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2021-09-27T11:51:00Z</dcterms:created>
  <dcterms:modified xsi:type="dcterms:W3CDTF">2021-09-27T12:01:00Z</dcterms:modified>
</cp:coreProperties>
</file>